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Настоящий документ является предложением ООО «Митра» (далее – «Компания») в адрес зарегистрированных пользователей Митра.Коммерческие торги (далее – «пользователи») заключить рамочный договор (далее – «Договор»,) на указанных ниже условиях (далее – «оферта»).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Настоящий Договор является публичной офертой, в соответствии со ст. 437 Гражданского Кодекса Российской Федерации. Принимая условия настоящего Пользовательского соглашения, Пользователь дает согласие на обработку своих персональных данных в соответствии с правилами, установленными Политикой конфиденциальности и обработки персональных данных, а также законодательством Российской Федерации.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оферте могут встречаться термины, в том виде, как они определены в Условиях использования «Митра.Коммерческие торги».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numPr>
          <w:ilvl w:val="0"/>
          <w:numId w:val="1"/>
        </w:numPr>
        <w:ind w:left="1134" w:hanging="0"/>
        <w:rPr/>
      </w:pPr>
      <w:r>
        <w:rPr/>
        <w:t>Предмет договора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Настоящий договор (далее – Договор, Оферта) регулирует отношения между ООО «МИТРА» и пользователями сети интернет, возникающие при использовании последними платформы «Митра.Коммерческие торги» на указанных в договоре условиях, а также оказания организацией услуг информационно-технического, рекламного, прочего характера (далее – «услуги»). ООО «Митра» является законным обладателем исключительных прав на интернет-платформу «Митра.Коммерческие торги» в т.ч. но не ограничиваясь «</w:t>
      </w:r>
      <w:r>
        <w:rPr>
          <w:lang w:val="en-US"/>
        </w:rPr>
        <w:t>www</w:t>
      </w:r>
      <w:r>
        <w:rPr/>
        <w:t>.Митра.Коммерческие торги.com».</w:t>
      </w:r>
    </w:p>
    <w:p>
      <w:pPr>
        <w:pStyle w:val="Style16"/>
        <w:numPr>
          <w:ilvl w:val="0"/>
          <w:numId w:val="0"/>
        </w:numPr>
        <w:spacing w:lineRule="auto" w:line="276"/>
        <w:ind w:left="567" w:hanging="0"/>
        <w:rPr/>
      </w:pPr>
      <w:r>
        <w:rPr/>
      </w:r>
    </w:p>
    <w:p>
      <w:pPr>
        <w:pStyle w:val="Style18"/>
        <w:numPr>
          <w:ilvl w:val="0"/>
          <w:numId w:val="1"/>
        </w:numPr>
        <w:spacing w:lineRule="auto" w:line="276"/>
        <w:ind w:left="1134" w:hanging="0"/>
        <w:rPr/>
      </w:pPr>
      <w:r>
        <w:rPr/>
        <w:t>Порядок заключения договора (Акцепт оферты)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Акцептом настоящего договора (оферты) признается момент нажатия Пользователем кнопки «Зарегистрироваться», расположенной в конце Страницы регистрации сайта либо в мобильном приложении Платформы «Митра.Коммерческие торги». Акцептом также считаются: фактическое использование пользователем функционала сайта либо мобильного приложения «Митра.Коммерческие торги», а также любые другие действия Пользователя, признаваемые акцептом в соответствии с действующим законодательством Российской Федерации и/или общепринятыми обычаями делового оборота.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 xml:space="preserve">Пользователь, совершивший акцепт данной оферты, считается безусловно принявшим все условия, обязательства и ответственность, установленные настоящим Соглашением. Пользователь выражает свое согласие на получение рекламной информации, размещенной третьими лицами на </w:t>
      </w:r>
      <w:bookmarkStart w:id="0" w:name="_Hlk73353865"/>
      <w:r>
        <w:rPr/>
        <w:t xml:space="preserve">Платформе «Митра». Пользователь </w:t>
      </w:r>
      <w:bookmarkEnd w:id="0"/>
      <w:r>
        <w:rPr/>
        <w:t>осознает и соглашается с тем, что Компания «Митра» не определяет содержание и не несет ответственности за такую информацию, в том числе за содержимое ресурсов в сети Интернет, ссылки на которые могут содержаться в соответствующих рекламных материалах. Акцепт Пользователем во всех случаях является полным, безоговорочным и безотзывным.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 отношениям Сторон (Пользователя и Платформы «Митра») в качестве применимого признается исключительно право Российской Федерации.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Совершая акцепт данной оферты, Пользователь подтверждает, что он является физическим лицом, имеющим статус индивидуального предпринимателя или без него, либо юридическим лицом, зарегистрированным (признанным) в порядке, установленном законодательством Российской Федерации, действует добросовестно, добровольно и разумно в пределах своей правоспособности (дееспособности), не имеющим препятствий к акцепту настоящей оферты, полностью понимает значение и смысл настоящего Договора (оферты).</w:t>
      </w:r>
    </w:p>
    <w:p>
      <w:pPr>
        <w:pStyle w:val="Style16"/>
        <w:numPr>
          <w:ilvl w:val="1"/>
          <w:numId w:val="1"/>
        </w:numPr>
        <w:spacing w:lineRule="auto" w:line="276"/>
        <w:rPr>
          <w:sz w:val="28"/>
        </w:rPr>
      </w:pPr>
      <w:r>
        <w:rPr/>
        <w:t>ООО «Митра» имеет право вносить любые изменения в Настоящий Договор и его Приложения путем размещения таких изменений (оферты) на сайте платформы «Митра.Коммерческие торги» в разделе «Новости» (с одновременным внесением актуальных изменений в редакцию Соглашения и его Приложений). При каждом последующем (после регистрации) входе Пользователя на «Митра.Коммерческие торги» он считается ознакомленным с изменениями, внесенными ООО «Митра» в Настоящий Договор и его Приложения, а по факту начала использования Пользователем функционала «Митра.Коммерческие торги» и любых других действий Пользователя, признаваемых акцептом в соответствии с действующим законодательством Российской Федерации и/или общепринятыми обычаями делового оборота - безусловно принявшим такие изменения.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18"/>
        <w:numPr>
          <w:ilvl w:val="0"/>
          <w:numId w:val="1"/>
        </w:numPr>
        <w:spacing w:lineRule="auto" w:line="276"/>
        <w:ind w:left="1134" w:hanging="0"/>
        <w:rPr/>
      </w:pPr>
      <w:r>
        <w:rPr/>
        <w:t>Общие условия оказания услуг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Услуги оказываются на территории Российской Федерации.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Условиями получения пользователем услуг Компании является оплата услуг и соблюдение пользователем правил, установленных в документах, перечисленных в данном пункте, а также в инструкциях, представленных в интерфейсе, Митра.Коммерческие торги (далее – «правила «Митра.Коммерческие торги»):</w:t>
      </w:r>
    </w:p>
    <w:p>
      <w:pPr>
        <w:pStyle w:val="Style16"/>
        <w:numPr>
          <w:ilvl w:val="0"/>
          <w:numId w:val="2"/>
        </w:numPr>
        <w:spacing w:lineRule="auto" w:line="276"/>
        <w:rPr/>
      </w:pPr>
      <w:r>
        <w:rPr/>
        <w:t>Условия использования Митра.Коммерческие торги;</w:t>
      </w:r>
    </w:p>
    <w:p>
      <w:pPr>
        <w:pStyle w:val="Style16"/>
        <w:numPr>
          <w:ilvl w:val="0"/>
          <w:numId w:val="2"/>
        </w:numPr>
        <w:spacing w:lineRule="auto" w:line="276"/>
        <w:rPr/>
      </w:pPr>
      <w:r>
        <w:rPr/>
        <w:t>Документы, регулирующие условия использования сервисов Митра.Коммерческие торги;</w:t>
      </w:r>
    </w:p>
    <w:p>
      <w:pPr>
        <w:pStyle w:val="Style16"/>
        <w:numPr>
          <w:ilvl w:val="0"/>
          <w:numId w:val="2"/>
        </w:numPr>
        <w:spacing w:lineRule="auto" w:line="276"/>
        <w:rPr/>
      </w:pPr>
      <w:r>
        <w:rPr/>
        <w:t>Документы, регламентирующие Тарифы Митра.Коммерческие торги;</w:t>
      </w:r>
    </w:p>
    <w:p>
      <w:pPr>
        <w:pStyle w:val="Style16"/>
        <w:numPr>
          <w:ilvl w:val="0"/>
          <w:numId w:val="2"/>
        </w:numPr>
        <w:spacing w:lineRule="auto" w:line="276"/>
        <w:rPr/>
      </w:pPr>
      <w:r>
        <w:rPr/>
        <w:t>Документы, устанавливающие правила размещения объявлений на Митра.Коммерческие торги;</w:t>
      </w:r>
    </w:p>
    <w:p>
      <w:pPr>
        <w:pStyle w:val="Style16"/>
        <w:numPr>
          <w:ilvl w:val="0"/>
          <w:numId w:val="2"/>
        </w:numPr>
        <w:spacing w:lineRule="auto" w:line="276"/>
        <w:rPr/>
      </w:pPr>
      <w:r>
        <w:rPr/>
        <w:t>иные документы, регламентирующие функционирование Митра.Коммерческие торги;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Обязательства Компании по предоставлению согласно заказам пользователя, являются встречными по отношению к обязательствам пользователя по соблюдению правил Митра.Коммерческие торги и оплате услуг. При невыполнении пользователем данных обязательств Компания может приостановить или отказаться от оказания услуг в соответствующей части на основании правомочий, предусмотренных гражданским законодательством Российской Федерации.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оказывает услуги при наличии возможности их предоставления, которая определяется, в том числе, соблюдением пользователями правил Митра.Коммерческие торги. Несоблюдение Правил Митра.Коммерческие торги может привести к невозможности исполнения обязательств Компании по оказанию соответствующих услуг.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В силу характера предлагаемых Компанией услуг, направленных на удовлетворение индивидуальных потребностей пользователей по продвижению товаров, работ, услуг пользователей и иных предложений, в рамках Договора Компания не принимает на себя обязанности по оказанию услуг каждому лицу, которое к ней обратится и может отказать в оказании услуг пользователю. Например, в случаях, когда предоставление услуг не соответствует правилам Митра.Коммерческие торги, его тематике, категориям и пр.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Некоторые услуги на Митра.Коммерческие торги могут быть доступны только для отдельных категорий пользователей, например, использующих Митра.Коммерческие торги для осуществления своей предпринимательской деятельности.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Условия предоставления конкретных услуг в рамках Договора, в том числе их содержание, объем и сроки определяются в соответствующих Условиях сервисов и других правилах Митра.Коммерческие торги.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Предоставляемые на Митра.Коммерческие торги услуги могут изменяться, дополняться, обновляться, в связи с чем их использование предлагается в режиме «как есть», то есть в том виде и объеме, в каком они предоставляются Компанией в момент обращения пользователей к услугам и сервисам Митра.Коммерческие торги.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вправе направлять вам по имеющимся в вашем профиле контактным данным уведомления, связанные с исполнением настоящего Договора или любой из заключенных в рамках Договора сделок, включая оповещения о статусе оказания услуги, способах продления, изменениях условий оказания услуг и иные информационные сообщения, посредством смс- и push-сообщений, электронной почты и телефонных звонков.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Пользователи Митра.Коммерческие торги обязуются соблюдать при пользовании услугами требования действующего законодательства Российской Федерации, положения Договора, соответствующие условия выбранной услуги или сервиса и все иные правила Митра.Коммерческие торги.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По требованию Компании Пользователи обязаны предоставить информацию и документы, необходимые для идентификации пользователя в качестве стороны Договора, в частности при направлении в адрес Компании заявлений, запросов и прочих обращений, связанных с оказанием услуг на Митра.Коммерческие торги. В целях идентификации частных пользователей Компанией могут быть запрошены ФИО, серия и номер паспорта, скан-копия второй и третьей страницы паспорта (второй разворот), адрес электронной почты и номер телефона пользователя, используемые для доступа к профилю. Кроме того, Компания вправе самостоятельно проводить верификацию пользователя в качестве стороны по Договору путем проведения сверки указанных вами в профиле реквизитов с реквизитами плательщика по Договору, а также иными способами.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Стороны признают действия, совершенные с использованием логина и пароля пользователя, действиями, совершенными пользователем и имеющими силу простой электронной подписи.</w:t>
      </w:r>
    </w:p>
    <w:p>
      <w:pPr>
        <w:pStyle w:val="Style18"/>
        <w:numPr>
          <w:ilvl w:val="0"/>
          <w:numId w:val="0"/>
        </w:numPr>
        <w:spacing w:lineRule="auto" w:line="276"/>
        <w:ind w:left="567" w:hanging="0"/>
        <w:rPr/>
      </w:pPr>
      <w:r>
        <w:rPr/>
      </w:r>
    </w:p>
    <w:p>
      <w:pPr>
        <w:pStyle w:val="Style18"/>
        <w:numPr>
          <w:ilvl w:val="0"/>
          <w:numId w:val="1"/>
        </w:numPr>
        <w:spacing w:lineRule="auto" w:line="276"/>
        <w:ind w:left="1134" w:hanging="0"/>
        <w:rPr/>
      </w:pPr>
      <w:r>
        <w:rPr/>
        <w:t>Ограничение ответственности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обязуется предпринимать все разумные усилия для надлежащего оказания услуг, однако не отвечает и не компенсирует убытки пользователя в случае, если пользователь не может воспользоваться услугами по следующим причинам:</w:t>
      </w:r>
    </w:p>
    <w:p>
      <w:pPr>
        <w:pStyle w:val="Style16"/>
        <w:numPr>
          <w:ilvl w:val="0"/>
          <w:numId w:val="3"/>
        </w:numPr>
        <w:spacing w:lineRule="auto" w:line="276"/>
        <w:rPr/>
      </w:pPr>
      <w:r>
        <w:rPr/>
        <w:t>технологические неисправности каналов связи общего пользования, посредством которых осуществляется доступ к услугам, утраты пользователем доступа в интернет по любой причине, ошибки, пропуски, перерывы в работе или передаче данных, дефекты линий связи и иные технические сбои;</w:t>
      </w:r>
    </w:p>
    <w:p>
      <w:pPr>
        <w:pStyle w:val="Style16"/>
        <w:numPr>
          <w:ilvl w:val="0"/>
          <w:numId w:val="3"/>
        </w:numPr>
        <w:spacing w:lineRule="auto" w:line="276"/>
        <w:rPr/>
      </w:pPr>
      <w:r>
        <w:rPr/>
        <w:t>несанкционированное вмешательство в работу Митра.Коммерческие торги третьих лиц, включая хакерские, DDoS-атаки, действия вирусных программ и иные нарушения работы Митра.Коммерческие торги.</w:t>
      </w:r>
    </w:p>
    <w:p>
      <w:pPr>
        <w:pStyle w:val="Style16"/>
        <w:numPr>
          <w:ilvl w:val="0"/>
          <w:numId w:val="3"/>
        </w:numPr>
        <w:spacing w:lineRule="auto" w:line="276"/>
        <w:rPr/>
      </w:pPr>
      <w:r>
        <w:rPr/>
        <w:t>утрата пользователем доступа к профилю, в том числе при наличии признаков несанкционированного его использования;</w:t>
      </w:r>
    </w:p>
    <w:p>
      <w:pPr>
        <w:pStyle w:val="Style16"/>
        <w:numPr>
          <w:ilvl w:val="0"/>
          <w:numId w:val="3"/>
        </w:numPr>
        <w:spacing w:lineRule="auto" w:line="276"/>
        <w:rPr/>
      </w:pPr>
      <w:r>
        <w:rPr/>
        <w:t>при наступлении обстоятельств непреодолимой силы.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не несет ответственности за соответствие законодательству РФ информации, размещенной в любом виде Пользователями на платформе Митра.Коммерческие торги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не несет ответственности за потребительские свойства Товаров, выставляемых на продажу на Митра.Коммерческие торги, а также за правомерность выставления их на продажу (в частности, за наличие у Пользователя прав на отчуждение данного Товара, совершение иных сделок с ним).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не участвует в правоотношениях между Пользователями по поводу заключения и исполнения ими сделок, не несет ответственности за действия Пользователей по таким сделкам.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не несет ответственности за достоверность информации, размещаемой Пользователями на Митра.Коммерческие торги, а также за правомерность ее размещения.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не несет ответственности перед Пользователями и любыми иными третьими лицами за вред (ущерб), причиненный в любой возможной форме (в том числе физический, моральный или материальный ущерб кому бы то ни было) в результате пользования Митра.Коммерческие торги, услугами Митра.Коммерческие торги, изменения платных услуг (тарифных планов) и/или инструментов внутри тарифных планов, а равно не несет ответственности за любые прямые и/или косвенные убытки Пользователей, включая упущенную выгоду.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В случае причинения убытков пользователю по вине Компании ответственность определяется в порядке, предусмотренном законодательством Российской Федерации. При этом ответственность Компании перед пользователями, использующими Митра.Коммерческие торги для предпринимательской и иной профессиональной деятельности, определяется в размере, не превышающем стоимость заказанной и оплаченной пользователем, но не полученной по вине Компании услуги или, если применимо, в сумме, не превышающей баланс Личного счета пользователя на момент причинения убытков и исключительно в случае потери пользователем части или всей суммы денежных средств на балансе Личного счета по вине Компании.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не отвечает перед пользователем за убытки, возникшие у пользователя не по вине Компании, в том числе в связи с нарушением пользователем правил Митра.Коммерческие торги.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не несет ответственности за перевод или поступление денежных средств пользователя в оплату услуг. Безопасность, конфиденциальность, а также иные условия использования выбранных вами способов оплаты определяются соглашениями между пользователем и соответствующими организациями по приему платежей.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Вы отвечаете за любые действия, совершенные на Митра.Коммерческие торги с использованием ваших данных для входа на Митра.Коммерческие торги (в том числе за действия работников и третьих лиц) и за убытки, которые могут возникнуть по причине несанкционированного использования вашего профиля и электронной подписи.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В случае кражи, утери данных для входа вы самостоятельно предпринимаете необходимые меры для смены пароля для доступа к профилю. Компания не несет ответственность за действия третьих лиц, повлекшие кражу, утерю ваших данных для входа, а также любые расходы, ущерб или упущенную выгоду, возникшие у пользователя в связи с несанкционированным доступом третьих лиц к профилю пользователя.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/>
        <w:t>Компания не гарантирует соответствие сервисов Митра.Коммерческие торги ожиданиям пользователя и получение пользователем отклика посетителей на размещенные им объявления в связи с получением услуг на Митра.Коммерческие торги.</w:t>
      </w:r>
    </w:p>
    <w:p>
      <w:pPr>
        <w:pStyle w:val="Style16"/>
        <w:numPr>
          <w:ilvl w:val="1"/>
          <w:numId w:val="1"/>
        </w:numPr>
        <w:spacing w:lineRule="auto" w:line="276"/>
        <w:rPr/>
      </w:pPr>
      <w:r>
        <w:rPr>
          <w:rStyle w:val="Strong"/>
          <w:b w:val="false"/>
          <w:bCs w:val="false"/>
          <w:color w:val="000000"/>
        </w:rPr>
        <w:t xml:space="preserve">Администрация и </w:t>
      </w:r>
      <w:r>
        <w:rPr/>
        <w:t>Оператор не несут ответственность за технические ошибки, совершенные Пользователем</w:t>
      </w:r>
    </w:p>
    <w:p>
      <w:pPr>
        <w:pStyle w:val="Style16"/>
        <w:numPr>
          <w:ilvl w:val="1"/>
          <w:numId w:val="1"/>
        </w:numPr>
        <w:rPr/>
      </w:pPr>
      <w:r>
        <w:rPr/>
        <w:t>Компания не несет ответственности за несовершение сделок любой из сторон или из-за нарушения процесса торгов, в том числе по причине нарушения работы Митра.Коммерческие торги или программных ошибок, а также действий третьих лиц и форс-мажорных обстоятельств; за перерывы в предоставлении услуг, вызванные техническими перебоями в работе оборудования и программного обеспечения. Вместе с тем Компания обязуется принимать все разумные меры для предотвращения таких перебоев.</w:t>
      </w:r>
    </w:p>
    <w:p>
      <w:pPr>
        <w:pStyle w:val="Style16"/>
        <w:numPr>
          <w:ilvl w:val="0"/>
          <w:numId w:val="0"/>
        </w:numPr>
        <w:ind w:left="567" w:hanging="0"/>
        <w:rPr/>
      </w:pPr>
      <w:r>
        <w:rPr/>
      </w:r>
    </w:p>
    <w:p>
      <w:pPr>
        <w:pStyle w:val="Style16"/>
        <w:numPr>
          <w:ilvl w:val="0"/>
          <w:numId w:val="0"/>
        </w:numPr>
        <w:ind w:left="567" w:hanging="0"/>
        <w:rPr/>
      </w:pPr>
      <w:r>
        <w:rPr/>
      </w:r>
    </w:p>
    <w:p>
      <w:pPr>
        <w:pStyle w:val="Style18"/>
        <w:numPr>
          <w:ilvl w:val="0"/>
          <w:numId w:val="1"/>
        </w:numPr>
        <w:ind w:left="1134" w:hanging="0"/>
        <w:rPr/>
      </w:pPr>
      <w:r>
        <w:rPr/>
        <w:t>Порядок разрешения споров</w:t>
      </w:r>
    </w:p>
    <w:p>
      <w:pPr>
        <w:pStyle w:val="Style16"/>
        <w:numPr>
          <w:ilvl w:val="1"/>
          <w:numId w:val="1"/>
        </w:numPr>
        <w:rPr/>
      </w:pPr>
      <w:r>
        <w:rPr/>
        <w:t>Споры, возникшие в рамках настоящего Договора, должны быть переданы на рассмотрение в Арбитражный суд г. Москвы, а если спор не подлежит рассмотрению в арбитражном суде в соответствии с его компетенцией — в иные суды согласно положениям законодательства Российской Федерации.</w:t>
      </w:r>
    </w:p>
    <w:p>
      <w:pPr>
        <w:pStyle w:val="Style16"/>
        <w:numPr>
          <w:ilvl w:val="1"/>
          <w:numId w:val="1"/>
        </w:numPr>
        <w:rPr/>
      </w:pPr>
      <w:r>
        <w:rPr/>
        <w:t>До обращения в суд пользователь должен соблюсти внесудебный порядок разрешения споров, направив в адрес Компании письменную претензию, с приложением документов, подтверждающих обстоятельства и требования, на которые ссылается пользователь. Срок рассмотрения таких претензий составляет не более 30 дней с момента получения претензии Компанией.</w:t>
      </w:r>
    </w:p>
    <w:p>
      <w:pPr>
        <w:pStyle w:val="Style18"/>
        <w:numPr>
          <w:ilvl w:val="0"/>
          <w:numId w:val="1"/>
        </w:numPr>
        <w:ind w:left="1134" w:hanging="0"/>
        <w:rPr/>
      </w:pPr>
      <w:r>
        <w:rPr/>
        <w:t>Прочие условия</w:t>
      </w:r>
    </w:p>
    <w:p>
      <w:pPr>
        <w:pStyle w:val="Style16"/>
        <w:numPr>
          <w:ilvl w:val="1"/>
          <w:numId w:val="1"/>
        </w:numPr>
        <w:rPr/>
      </w:pPr>
      <w:r>
        <w:rPr/>
        <w:t>Договор вступает в силу с момента его заключения в порядке, указанном в разделе 2 оферты, и действует в течение неопределенного срока до момента его прекращения в соответствии с Договором и законодательством.</w:t>
      </w:r>
    </w:p>
    <w:p>
      <w:pPr>
        <w:pStyle w:val="Style16"/>
        <w:numPr>
          <w:ilvl w:val="1"/>
          <w:numId w:val="1"/>
        </w:numPr>
        <w:rPr/>
      </w:pPr>
      <w:r>
        <w:rPr/>
        <w:t>Компания вправе расторгнуть Договор в порядке, предусмотренном законодательством, в том числе в случае однократного нарушения пользователем законодательства, условий Договора или правил Митра.Коммерческие торги, с уведомлением об этом пользователя через интерфейс Митра.Коммерческие торги, по адресу электронной почты или иным способом</w:t>
      </w:r>
    </w:p>
    <w:p>
      <w:pPr>
        <w:pStyle w:val="Style16"/>
        <w:numPr>
          <w:ilvl w:val="1"/>
          <w:numId w:val="1"/>
        </w:numPr>
        <w:rPr/>
      </w:pPr>
      <w:r>
        <w:rPr/>
        <w:t>Договор может быть прекращен досрочно по инициативе пользователя. Если пользователь не воспользовался профилем на Митра.Коммерческие торги в течение 2-х лет, Договор считается прекращенным по инициативе пользователя по истечении указанного срока. При прекращении действия Договора вы вправе обратиться к Компании за возвратом неиспользованного остатка денежных средств в размере баланса Личного счета без учета предоставленных бонусов. Возврат неиспользованного остатка денежных средств осуществляется на основании письменного заявления пользователя по установленной Компанией форме на средство платежа, с помощью которого был осуществлен платеж за услуги, а в случае невозможности использования данного средства платежа для возврата денежных средств – иным определенным Компанией способом.</w:t>
      </w:r>
    </w:p>
    <w:p>
      <w:pPr>
        <w:pStyle w:val="Style16"/>
        <w:numPr>
          <w:ilvl w:val="1"/>
          <w:numId w:val="1"/>
        </w:numPr>
        <w:rPr/>
      </w:pPr>
      <w:r>
        <w:rPr/>
        <w:t>Компания вправе указывать наименование, товарный знак и общее описание услуг пользователя с профилем юридического лица или индивидуального предпринимателя в своих маркетинговых материалах.</w:t>
      </w:r>
    </w:p>
    <w:p>
      <w:pPr>
        <w:pStyle w:val="Style16"/>
        <w:numPr>
          <w:ilvl w:val="1"/>
          <w:numId w:val="1"/>
        </w:numPr>
        <w:rPr/>
      </w:pPr>
      <w:r>
        <w:rPr/>
        <w:t>Договор представляет все условия, согласованные между сторонами в отношении его предмета, и заменяет собой все прежние договоренности, заверения и любого рода соглашения между сторонами в отношении его предмета, если иное прямо не согласовано сторонами.</w:t>
      </w:r>
    </w:p>
    <w:p>
      <w:pPr>
        <w:pStyle w:val="Style16"/>
        <w:numPr>
          <w:ilvl w:val="0"/>
          <w:numId w:val="0"/>
        </w:numPr>
        <w:ind w:left="567" w:hanging="0"/>
        <w:rPr/>
      </w:pPr>
      <w:r>
        <w:rPr/>
      </w:r>
    </w:p>
    <w:p>
      <w:pPr>
        <w:pStyle w:val="Style18"/>
        <w:numPr>
          <w:ilvl w:val="0"/>
          <w:numId w:val="1"/>
        </w:numPr>
        <w:ind w:left="1134" w:hanging="0"/>
        <w:rPr/>
      </w:pPr>
      <w:r>
        <w:rPr/>
        <w:t>Реквизиты ООО «Митра»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>Общество с ограниченной ответственностью «МИТРА» (ООО «МИТРА»)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>Юридический адрес: 344082, Ростовская обл., г. Ростов-на-Дону, ул. Станиславского, дом № 8А, офис 302/2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>ИНН 6164132744 КПП 616401001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>ОГРН 1206100031301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>ОКПО 45621225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>Номер счёта: 40702810326270000287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 xml:space="preserve">Наименование банка: ФИЛИАЛ "РОСТОВСКИЙ" АО "АЛЬФА-БАНК" 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>БИК: 6164132744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>Корр. Счёт: 30101810500000000207</w:t>
      </w:r>
    </w:p>
    <w:p>
      <w:pPr>
        <w:pStyle w:val="Style16"/>
        <w:numPr>
          <w:ilvl w:val="0"/>
          <w:numId w:val="0"/>
        </w:numPr>
        <w:spacing w:before="0" w:after="0"/>
        <w:ind w:left="567" w:hanging="567"/>
        <w:rPr/>
      </w:pPr>
      <w:r>
        <w:rPr/>
        <w:t>Генеральный директор Спиридонов Никита Денисович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60"/>
        <w:ind w:firstLine="709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566" w:header="0" w:top="1134" w:footer="29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3722846"/>
    </w:sdtPr>
    <w:sdtContent>
      <w:p>
        <w:pPr>
          <w:pStyle w:val="Foo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206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8"/>
        <w:szCs w:val="24"/>
      </w:r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216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0b5b29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0b5b29"/>
    <w:rPr/>
  </w:style>
  <w:style w:type="character" w:styleId="InternetLink">
    <w:name w:val="Internet Link"/>
    <w:basedOn w:val="DefaultParagraphFont"/>
    <w:uiPriority w:val="99"/>
    <w:semiHidden/>
    <w:unhideWhenUsed/>
    <w:rsid w:val="00701f1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b311c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8"/>
      <w:szCs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a7"/>
    <w:uiPriority w:val="99"/>
    <w:unhideWhenUsed/>
    <w:rsid w:val="000b5b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9"/>
    <w:uiPriority w:val="99"/>
    <w:unhideWhenUsed/>
    <w:rsid w:val="000b5b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701f1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ru-RU"/>
    </w:rPr>
  </w:style>
  <w:style w:type="paragraph" w:styleId="NormalWeb">
    <w:name w:val="Normal (Web)"/>
    <w:basedOn w:val="Normal"/>
    <w:uiPriority w:val="99"/>
    <w:unhideWhenUsed/>
    <w:qFormat/>
    <w:rsid w:val="00c064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06a39"/>
    <w:pPr>
      <w:spacing w:before="0" w:after="160"/>
      <w:ind w:left="720" w:hanging="0"/>
      <w:contextualSpacing/>
    </w:pPr>
    <w:rPr/>
  </w:style>
  <w:style w:type="paragraph" w:styleId="Style16" w:customStyle="1">
    <w:name w:val="Пункт договора"/>
    <w:basedOn w:val="Normal"/>
    <w:qFormat/>
    <w:rsid w:val="006d2d56"/>
    <w:pPr>
      <w:spacing w:lineRule="auto" w:line="360"/>
      <w:jc w:val="both"/>
    </w:pPr>
    <w:rPr>
      <w:rFonts w:ascii="Times New Roman" w:hAnsi="Times New Roman" w:cs="Times New Roman"/>
      <w:sz w:val="24"/>
      <w:szCs w:val="24"/>
    </w:rPr>
  </w:style>
  <w:style w:type="paragraph" w:styleId="Style17" w:customStyle="1">
    <w:name w:val="Подпункт договора"/>
    <w:basedOn w:val="Style16"/>
    <w:qFormat/>
    <w:rsid w:val="006d2d56"/>
    <w:pPr/>
    <w:rPr/>
  </w:style>
  <w:style w:type="paragraph" w:styleId="Style18" w:customStyle="1">
    <w:name w:val="Раздел договора"/>
    <w:basedOn w:val="Style17"/>
    <w:next w:val="Style16"/>
    <w:qFormat/>
    <w:rsid w:val="007c2169"/>
    <w:pPr>
      <w:ind w:left="1134" w:hanging="0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Application>LibreOffice/6.2.1.2$Windows_X86_64 LibreOffice_project/7bcb35dc3024a62dea0caee87020152d1ee96e71</Application>
  <Pages>3</Pages>
  <Words>1961</Words>
  <Characters>14167</Characters>
  <CharactersWithSpaces>16014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2020-10-12T08:11:00Z</dcterms:created>
  <dc:creator>savinda owl</dc:creator>
  <dc:description/>
  <dc:language>ru-RU</dc:language>
  <cp:lastModifiedBy>Nickes Prosperity</cp:lastModifiedBy>
  <dcterms:modified xsi:type="dcterms:W3CDTF">2024-01-16T09:42:00Z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